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76BD6287">
                <wp:simplePos x="0" y="0"/>
                <wp:positionH relativeFrom="column">
                  <wp:posOffset>2914650</wp:posOffset>
                </wp:positionH>
                <wp:positionV relativeFrom="paragraph">
                  <wp:posOffset>-790575</wp:posOffset>
                </wp:positionV>
                <wp:extent cx="3800475" cy="8096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9DFA" w14:textId="54BE0E44" w:rsidR="00986FB7" w:rsidRPr="00986FB7" w:rsidRDefault="00CA42AF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  <w:t>Topic Title</w:t>
                            </w:r>
                          </w:p>
                          <w:p w14:paraId="3BDFA442" w14:textId="11ED0954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 w:rsidRPr="00986FB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5pt;margin-top:-62.25pt;width:299.25pt;height:63.7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" filled="f" stroked="f" strokeweight=".5pt">
                <v:textbox>
                  <w:txbxContent>
                    <w:p w14:paraId="178A9DFA" w14:textId="54BE0E44" w:rsidR="00986FB7" w:rsidRPr="00986FB7" w:rsidRDefault="00CA42AF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  <w:t>Topic Title</w:t>
                      </w:r>
                    </w:p>
                    <w:p w14:paraId="3BDFA442" w14:textId="11ED0954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 w:rsidRPr="00986FB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AA17B5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10255" w:type="dxa"/>
        <w:tblLook w:val="04A0" w:firstRow="1" w:lastRow="0" w:firstColumn="1" w:lastColumn="0" w:noHBand="0" w:noVBand="1"/>
      </w:tblPr>
      <w:tblGrid>
        <w:gridCol w:w="1705"/>
        <w:gridCol w:w="1620"/>
        <w:gridCol w:w="6930"/>
      </w:tblGrid>
      <w:tr w:rsidR="00F41628" w14:paraId="46FFF5C1" w14:textId="77777777" w:rsidTr="00AA1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162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6930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AA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162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6930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AA17B5">
        <w:trPr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2363FA66" w:rsidR="00F41628" w:rsidRDefault="00F41628" w:rsidP="00CE008F">
            <w:r>
              <w:t>1</w:t>
            </w:r>
            <w:r w:rsidR="009E34CF">
              <w:t>2</w:t>
            </w:r>
            <w:r>
              <w:t xml:space="preserve"> minutes</w:t>
            </w:r>
          </w:p>
        </w:tc>
        <w:tc>
          <w:tcPr>
            <w:tcW w:w="162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6930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79DFF23C" w14:textId="77777777" w:rsidR="0070057F" w:rsidRPr="0070057F" w:rsidRDefault="0070057F" w:rsidP="0070057F">
            <w:pPr>
              <w:pStyle w:val="ListParagraph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57F">
              <w:t>Know how to get connected to providers</w:t>
            </w:r>
          </w:p>
          <w:p w14:paraId="1F5CDE7C" w14:textId="77777777" w:rsidR="0070057F" w:rsidRPr="0070057F" w:rsidRDefault="0070057F" w:rsidP="0070057F">
            <w:pPr>
              <w:pStyle w:val="ListParagraph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57F">
              <w:t xml:space="preserve">Where to get education </w:t>
            </w:r>
          </w:p>
          <w:p w14:paraId="4DF55B4B" w14:textId="48D00A19" w:rsidR="00CA42AF" w:rsidRDefault="0070057F" w:rsidP="0070057F">
            <w:pPr>
              <w:pStyle w:val="ListParagraph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57F">
              <w:rPr>
                <w:rFonts w:cstheme="minorBidi"/>
              </w:rPr>
              <w:t>How to advocate for your needs</w:t>
            </w:r>
          </w:p>
        </w:tc>
      </w:tr>
      <w:tr w:rsidR="00F41628" w14:paraId="59C98D72" w14:textId="77777777" w:rsidTr="00AA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097A5B18" w:rsidR="00F41628" w:rsidRDefault="009E34CF" w:rsidP="00CE008F">
            <w:r>
              <w:t xml:space="preserve">5 </w:t>
            </w:r>
            <w:r w:rsidR="00F41628">
              <w:t>minutes</w:t>
            </w:r>
          </w:p>
        </w:tc>
        <w:tc>
          <w:tcPr>
            <w:tcW w:w="162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6930" w:type="dxa"/>
            <w:vAlign w:val="center"/>
          </w:tcPr>
          <w:p w14:paraId="6CAB417E" w14:textId="7C754B40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>
              <w:t>: Participants turn to a partner and reflect on a key question</w:t>
            </w:r>
            <w:r w:rsidR="00C4495D">
              <w:t xml:space="preserve">:  What is one community resource that you have already taken advantage of </w:t>
            </w:r>
            <w:r w:rsidR="008E559C">
              <w:t xml:space="preserve">in </w:t>
            </w:r>
            <w:r w:rsidR="00B41431">
              <w:t xml:space="preserve">support of your pregnancy.  If </w:t>
            </w:r>
            <w:r w:rsidR="00F37B03">
              <w:t>people cannot identify one, they can think about what they are going to look into because of the information shared</w:t>
            </w:r>
          </w:p>
          <w:p w14:paraId="00FC7504" w14:textId="26A09699" w:rsidR="00F41628" w:rsidRPr="006B7373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>
              <w:t xml:space="preserve">Participants </w:t>
            </w:r>
            <w:r w:rsidR="009E34CF">
              <w:t xml:space="preserve">engage in a large group discussion </w:t>
            </w:r>
            <w:r w:rsidR="003722AB">
              <w:t xml:space="preserve">about whether they learned something new today that </w:t>
            </w:r>
            <w:r w:rsidR="00F37B03">
              <w:t xml:space="preserve">was helpful or that </w:t>
            </w:r>
            <w:r w:rsidR="003722AB">
              <w:t>may have been a surprise</w:t>
            </w:r>
          </w:p>
          <w:p w14:paraId="7021BFD7" w14:textId="4E5D8FF7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F41628">
              <w:t xml:space="preserve">Participants briefly </w:t>
            </w:r>
            <w:r>
              <w:t>consider who they would reach out to for support if they needed it</w:t>
            </w:r>
          </w:p>
        </w:tc>
      </w:tr>
      <w:tr w:rsidR="00F41628" w14:paraId="36757F28" w14:textId="77777777" w:rsidTr="00AA17B5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77777777" w:rsidR="00F41628" w:rsidRDefault="00F41628" w:rsidP="00CE008F">
            <w:r>
              <w:t>5 minutes</w:t>
            </w:r>
          </w:p>
        </w:tc>
        <w:tc>
          <w:tcPr>
            <w:tcW w:w="162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Questions</w:t>
            </w:r>
          </w:p>
        </w:tc>
        <w:tc>
          <w:tcPr>
            <w:tcW w:w="6930" w:type="dxa"/>
            <w:vAlign w:val="center"/>
          </w:tcPr>
          <w:p w14:paraId="42C5B9CB" w14:textId="15A6E37A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pose questions and the presenter responds</w:t>
            </w:r>
          </w:p>
        </w:tc>
      </w:tr>
      <w:tr w:rsidR="00F41628" w14:paraId="1CA30EBF" w14:textId="77777777" w:rsidTr="00AA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7777777" w:rsidR="00F41628" w:rsidRDefault="00F41628" w:rsidP="00CE008F">
            <w:r>
              <w:t xml:space="preserve">3 minutes </w:t>
            </w:r>
          </w:p>
        </w:tc>
        <w:tc>
          <w:tcPr>
            <w:tcW w:w="162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Closing</w:t>
            </w:r>
          </w:p>
        </w:tc>
        <w:tc>
          <w:tcPr>
            <w:tcW w:w="6930" w:type="dxa"/>
            <w:vAlign w:val="center"/>
          </w:tcPr>
          <w:p w14:paraId="090EECE7" w14:textId="2E868CB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 thanks the attendees and provides additional resources regarding the topic</w:t>
            </w:r>
          </w:p>
        </w:tc>
      </w:tr>
    </w:tbl>
    <w:p w14:paraId="16C0F06F" w14:textId="7BE058B1" w:rsidR="007F6C79" w:rsidRPr="00F41628" w:rsidRDefault="00AA17B5" w:rsidP="00F41628">
      <w:pPr>
        <w:shd w:val="clear" w:color="auto" w:fill="FFFFFF" w:themeFill="background1"/>
        <w:jc w:val="center"/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0625B9A9">
                <wp:simplePos x="0" y="0"/>
                <wp:positionH relativeFrom="margin">
                  <wp:posOffset>-2066925</wp:posOffset>
                </wp:positionH>
                <wp:positionV relativeFrom="paragraph">
                  <wp:posOffset>316230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4EFB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-162.75pt;margin-top:24.9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1F42B8C4" w:rsidR="00986FB7" w:rsidRPr="007F6C79" w:rsidRDefault="00540413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Published in 2022.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BC1320" w:rsidRPr="001A3470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www.maternalhealthnetworksb.com</w:t>
                              </w:r>
                            </w:hyperlink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1F42B8C4" w:rsidR="00986FB7" w:rsidRPr="007F6C79" w:rsidRDefault="00540413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Published in 2022.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BC1320" w:rsidRPr="001A3470">
                          <w:rPr>
                            <w:rStyle w:val="Hyperlink"/>
                            <w:rFonts w:ascii="Franklin Gothic Book" w:hAnsi="Franklin Gothic Book"/>
                          </w:rPr>
                          <w:t>www.maternalhealthnetworksb.com</w:t>
                        </w:r>
                      </w:hyperlink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6FB7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41DD10B8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81581">
    <w:abstractNumId w:val="4"/>
  </w:num>
  <w:num w:numId="2" w16cid:durableId="1126319141">
    <w:abstractNumId w:val="1"/>
  </w:num>
  <w:num w:numId="3" w16cid:durableId="1732578899">
    <w:abstractNumId w:val="3"/>
  </w:num>
  <w:num w:numId="4" w16cid:durableId="839392607">
    <w:abstractNumId w:val="0"/>
  </w:num>
  <w:num w:numId="5" w16cid:durableId="949239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E2F4B"/>
    <w:rsid w:val="0019627D"/>
    <w:rsid w:val="002C2425"/>
    <w:rsid w:val="00350569"/>
    <w:rsid w:val="003722AB"/>
    <w:rsid w:val="004F55A7"/>
    <w:rsid w:val="005239B5"/>
    <w:rsid w:val="00540413"/>
    <w:rsid w:val="00583FB1"/>
    <w:rsid w:val="00591822"/>
    <w:rsid w:val="006051C6"/>
    <w:rsid w:val="0065341A"/>
    <w:rsid w:val="006A0027"/>
    <w:rsid w:val="0070057F"/>
    <w:rsid w:val="00712D3F"/>
    <w:rsid w:val="007F6C79"/>
    <w:rsid w:val="007F74E7"/>
    <w:rsid w:val="008027BE"/>
    <w:rsid w:val="008B4C66"/>
    <w:rsid w:val="008E559C"/>
    <w:rsid w:val="00914CA1"/>
    <w:rsid w:val="00986FB7"/>
    <w:rsid w:val="009E34CF"/>
    <w:rsid w:val="00AA17B5"/>
    <w:rsid w:val="00AC7FE8"/>
    <w:rsid w:val="00B41431"/>
    <w:rsid w:val="00BC1320"/>
    <w:rsid w:val="00C4495D"/>
    <w:rsid w:val="00C82446"/>
    <w:rsid w:val="00C83E8D"/>
    <w:rsid w:val="00CA42AF"/>
    <w:rsid w:val="00D63C34"/>
    <w:rsid w:val="00D63C37"/>
    <w:rsid w:val="00D76EB3"/>
    <w:rsid w:val="00E02963"/>
    <w:rsid w:val="00EE61FC"/>
    <w:rsid w:val="00F37B03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2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B904E-C8A5-4CCD-B3CB-154CCB8EC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Monet Watson</cp:lastModifiedBy>
  <cp:revision>15</cp:revision>
  <dcterms:created xsi:type="dcterms:W3CDTF">2021-04-21T18:52:00Z</dcterms:created>
  <dcterms:modified xsi:type="dcterms:W3CDTF">2023-04-06T00:17:00Z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